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B8A85"/>
          <w:sz w:val="20"/>
          <w:szCs w:val="20"/>
        </w:rPr>
        <w:t xml:space="preserve">Vibe Coding CEDIA 2026 · Proyecto final · Guía 21: Sitio del curso o sílabo interactivo</w:t>
      </w:r>
    </w:p>
    <w:p>
      <w:pPr>
        <w:pStyle w:val="Title"/>
      </w:pPr>
      <w:r>
        <w:t xml:space="preserve">Nota metodológica: Sílabo Interactivo Multilingüe</w:t>
      </w:r>
    </w:p>
    <w:p>
      <w:pPr>
        <w:spacing w:after="120" w:line="276"/>
      </w:pPr>
      <w:r>
        <w:rPr>
          <w:b/>
          <w:bCs/>
        </w:rPr>
        <w:t xml:space="preserve">Autoras:</w:t>
      </w:r>
      <w:r>
        <w:t xml:space="preserve"> María de Lourdes Larrea, Universidad UTE, Facultad de Ciencias Gastronómicas y Turismo (VC-2026-017). Germania del Rocío Rodríguez, Universidad Técnica Particular de Loja, Facultad de Ingenierías y Arquitectura, Departamento de Ciencias de la Computación y Electrónica (VC-2026-040).</w:t>
      </w:r>
    </w:p>
    <w:p>
      <w:pPr>
        <w:spacing w:after="120" w:line="276"/>
      </w:pPr>
      <w:r>
        <w:rPr>
          <w:b/>
          <w:bCs/>
        </w:rPr>
        <w:t xml:space="preserve">Fecha de esta versión:</w:t>
      </w:r>
      <w:r>
        <w:t xml:space="preserve"> 9 de octubre de 2026. </w:t>
      </w:r>
      <w:r>
        <w:rPr>
          <w:b/>
          <w:bCs/>
        </w:rPr>
        <w:t xml:space="preserve">Sitio de referencia:</w:t>
      </w:r>
      <w:r>
        <w:t xml:space="preserve"> https://mdllarrea73-design.github.io/fundamentos-ti-utpl/index.html</w:t>
      </w:r>
    </w:p>
    <w:p>
      <w:pPr>
        <w:spacing w:after="120" w:line="276"/>
      </w:pPr>
      <w:r>
        <w:t xml:space="preserve">Este documento permite que otra persona comprenda qué hace la herramienta, cómo se comprobó y qué hacer si cambia o falla. Está redactado a partir de la información entregada por las autoras.</w:t>
      </w:r>
    </w:p>
    <w:p>
      <w:pPr>
        <w:pStyle w:val="Heading1"/>
      </w:pPr>
      <w:r>
        <w:t xml:space="preserve">1. Propósito y límite</w:t>
      </w:r>
    </w:p>
    <w:p>
      <w:pPr>
        <w:spacing w:after="120" w:line="276"/>
      </w:pPr>
      <w:r>
        <w:rPr>
          <w:b/>
          <w:bCs/>
        </w:rPr>
        <w:t xml:space="preserve">Propósito.</w:t>
      </w:r>
      <w:r>
        <w:t xml:space="preserve"> El Sílabo Interactivo Multilingüe transforma el sílabo oficial de una asignatura, que suele entregarse como un PDF estático de varias páginas, en un sitio web que el estudiante consulta desde cualquier dispositivo. El sitio presenta los datos de la asignatura, el cronograma por semanas, los resultados de aprendizaje, las actividades y los recursos, en español, inglés, francés y portugués. Incluye una bienvenida en audio con la voz de la docente, el botón «Leer en voz alta», que reproduce en audio el contenido mostrado, y la sección «Mi lista», que permite seleccionar y conservar elementos del sílabo.</w:t>
      </w:r>
    </w:p>
    <w:p>
      <w:pPr>
        <w:spacing w:after="120" w:line="276"/>
      </w:pPr>
      <w:r>
        <w:rPr>
          <w:b/>
          <w:bCs/>
        </w:rPr>
        <w:t xml:space="preserve">Guía de proyecto:</w:t>
      </w:r>
      <w:r>
        <w:t xml:space="preserve"> Guía 21, «Sitio del curso o sílabo interactivo», del curso Vibe Coding CEDIA 2026.</w:t>
      </w:r>
    </w:p>
    <w:p>
      <w:pPr>
        <w:spacing w:after="120" w:line="276"/>
      </w:pPr>
      <w:r>
        <w:rPr>
          <w:b/>
          <w:bCs/>
        </w:rPr>
        <w:t xml:space="preserve">Usuarios.</w:t>
      </w:r>
      <w:r>
        <w:t xml:space="preserve"> La docente aporta el sílabo oficial y recibe un sitio publicado en GitHub Pages. El estudiante recibe un enlace y no necesita registrarse ni entregar datos personales.</w:t>
      </w:r>
    </w:p>
    <w:p>
      <w:pPr>
        <w:spacing w:after="120" w:line="276"/>
      </w:pPr>
      <w:r>
        <w:rPr>
          <w:b/>
          <w:bCs/>
        </w:rPr>
        <w:t xml:space="preserve">Límite.</w:t>
      </w:r>
      <w:r>
        <w:t xml:space="preserve"> El sitio no reemplaza al sílabo oficial ni al plan docente aprobado: ante cualquier diferencia, prevalece el plan docente aprobado y lo que indique la docente en el EVA, como lo declara el propio sitio. La herramienta no ha sido evaluada con una encuesta de usabilidad, y las versiones en inglés, francés y portugués no tienen validación lingüística especializada.</w:t>
      </w:r>
    </w:p>
    <w:p>
      <w:pPr>
        <w:pStyle w:val="Heading1"/>
      </w:pPr>
      <w:r>
        <w:t xml:space="preserve">2. Recorrido revisable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7126"/>
      </w:tblGrid>
      <w:tr>
        <w:trPr>
          <w:tblHeader/>
        </w:trPr>
        <w:tc>
          <w:tcPr>
            <w:tcW w:type="dxa" w:w="1900"/>
            <w:tcBorders>
              <w:top w:val="single" w:color="C9D3E3" w:sz="4"/>
              <w:left w:val="single" w:color="C9D3E3" w:sz="4"/>
              <w:bottom w:val="single" w:color="C9D3E3" w:sz="4"/>
              <w:right w:val="single" w:color="C9D3E3" w:sz="4"/>
            </w:tcBorders>
            <w:shd w:fill="0A2342" w:color="auto" w:val="clear"/>
            <w:tcMar>
              <w:top w:type="dxa" w:w="70"/>
              <w:left w:type="dxa" w:w="100"/>
              <w:bottom w:type="dxa" w:w="70"/>
              <w:right w:type="dxa" w:w="100"/>
            </w:tcMar>
          </w:tcPr>
          <w:p>
            <w:pPr>
              <w:spacing w:after="0"/>
            </w:pPr>
            <w:r>
              <w:rPr>
                <w:b/>
                <w:bCs/>
                <w:color w:val="FFFFFF"/>
                <w:sz w:val="19"/>
                <w:szCs w:val="19"/>
              </w:rPr>
              <w:t xml:space="preserve">Etapa</w:t>
            </w:r>
          </w:p>
        </w:tc>
        <w:tc>
          <w:tcPr>
            <w:tcW w:type="dxa" w:w="7126"/>
            <w:tcBorders>
              <w:top w:val="single" w:color="C9D3E3" w:sz="4"/>
              <w:left w:val="single" w:color="C9D3E3" w:sz="4"/>
              <w:bottom w:val="single" w:color="C9D3E3" w:sz="4"/>
              <w:right w:val="single" w:color="C9D3E3" w:sz="4"/>
            </w:tcBorders>
            <w:shd w:fill="0A2342" w:color="auto" w:val="clear"/>
            <w:tcMar>
              <w:top w:type="dxa" w:w="70"/>
              <w:left w:type="dxa" w:w="100"/>
              <w:bottom w:type="dxa" w:w="70"/>
              <w:right w:type="dxa" w:w="100"/>
            </w:tcMar>
          </w:tcPr>
          <w:p>
            <w:pPr>
              <w:spacing w:after="0"/>
            </w:pPr>
            <w:r>
              <w:rPr>
                <w:b/>
                <w:bCs/>
                <w:color w:val="FFFFFF"/>
                <w:sz w:val="19"/>
                <w:szCs w:val="19"/>
              </w:rPr>
              <w:t xml:space="preserve">Descripción</w:t>
            </w:r>
          </w:p>
        </w:tc>
      </w:tr>
      <w:tr>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Entrada</w:t>
            </w:r>
          </w:p>
        </w:tc>
        <w:tc>
          <w:tcPr>
            <w:tcW w:type="dxa" w:w="7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Sílabo oficial de la asignatura: datos generales, resultados de aprendizaje, unidades, contenidos, actividades, recursos y cronograma.</w:t>
            </w:r>
          </w:p>
        </w:tc>
      </w:tr>
      <w:tr>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Regla que se aplica</w:t>
            </w:r>
          </w:p>
        </w:tc>
        <w:tc>
          <w:tcPr>
            <w:tcW w:type="dxa" w:w="7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Todo lo que muestra el sitio debe corresponder al sílabo oficial. La IA propone y genera; la docente valida, corrige y decide qué se publica. Ante cualquier diferencia prevalece el plan docente aprobado.</w:t>
            </w:r>
          </w:p>
        </w:tc>
      </w:tr>
      <w:tr>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Resultado</w:t>
            </w:r>
          </w:p>
        </w:tc>
        <w:tc>
          <w:tcPr>
            <w:tcW w:type="dxa" w:w="7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Sitio web en GitHub Pages con cronograma, actividades, recursos, selector de cuatro idiomas, bienvenida en audio, «Leer en voz alta» y «Mi lista». Aplicado en cuatro asignaturas: Planificación y Organización de Eventos Gastronómicos, Técnicas de Servicio, Sumillería y Fundamentos de la Tecnología de la Información.</w:t>
            </w:r>
          </w:p>
        </w:tc>
      </w:tr>
      <w:tr>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Evidencia</w:t>
            </w:r>
          </w:p>
        </w:tc>
        <w:tc>
          <w:tcPr>
            <w:tcW w:type="dxa" w:w="7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Pruebas funcionales de navegación, secciones, botones, enlaces, cambio de idioma y reproducción de audio. Prueba de uso en clase en la que participaron 88 estudiantes, según los registros de asistencia de esas sesiones. Se les pidió ingresar, navegar por las secciones, localizar información, usar los botones, seleccionar idiomas y reproducir la bienvenida. La prueba detectó errores de funcionamiento; en uno, el audio no se mostraba o no correspondía al idioma elegido. Se corrigió en el código y se volvió a probar.</w:t>
            </w:r>
          </w:p>
        </w:tc>
      </w:tr>
    </w:tbl>
    <w:p>
      <w:pPr>
        <w:spacing w:after="120"/>
      </w:pPr>
    </w:p>
    <w:p>
      <w:pPr>
        <w:spacing w:after="120" w:line="276"/>
      </w:pPr>
      <w:r>
        <w:rPr>
          <w:b/>
          <w:bCs/>
        </w:rPr>
        <w:t xml:space="preserve">Alcance de la evidencia.</w:t>
      </w:r>
      <w:r>
        <w:t xml:space="preserve"> El registro de asistencia demuestra la presencia y participación de los estudiantes en la sesión, pero no constituye evidencia individual del cumplimiento de cada tarea. No se aplicó encuesta de satisfacción. En total participaron 88 estudiantes de las cuatro asignaturas, un promedio de 22 por asignatura.</w:t>
      </w:r>
    </w:p>
    <w:p>
      <w:pPr>
        <w:pStyle w:val="Heading1"/>
      </w:pPr>
      <w:r>
        <w:t xml:space="preserve">3. Aportes de la IA y de las personas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1900"/>
        <w:gridCol w:w="1800"/>
        <w:gridCol w:w="1926"/>
        <w:gridCol w:w="1900"/>
      </w:tblGrid>
      <w:tr>
        <w:trPr>
          <w:tblHeader/>
        </w:trPr>
        <w:tc>
          <w:tcPr>
            <w:tcW w:type="dxa" w:w="1500"/>
            <w:tcBorders>
              <w:top w:val="single" w:color="C9D3E3" w:sz="4"/>
              <w:left w:val="single" w:color="C9D3E3" w:sz="4"/>
              <w:bottom w:val="single" w:color="C9D3E3" w:sz="4"/>
              <w:right w:val="single" w:color="C9D3E3" w:sz="4"/>
            </w:tcBorders>
            <w:shd w:fill="0A2342" w:color="auto" w:val="clear"/>
            <w:tcMar>
              <w:top w:type="dxa" w:w="70"/>
              <w:left w:type="dxa" w:w="100"/>
              <w:bottom w:type="dxa" w:w="70"/>
              <w:right w:type="dxa" w:w="100"/>
            </w:tcMar>
          </w:tcPr>
          <w:p>
            <w:pPr>
              <w:spacing w:after="0"/>
            </w:pPr>
            <w:r>
              <w:rPr>
                <w:b/>
                <w:bCs/>
                <w:color w:val="FFFFFF"/>
                <w:sz w:val="19"/>
                <w:szCs w:val="19"/>
              </w:rPr>
              <w:t xml:space="preserve">Herramienta</w:t>
            </w:r>
          </w:p>
        </w:tc>
        <w:tc>
          <w:tcPr>
            <w:tcW w:type="dxa" w:w="1900"/>
            <w:tcBorders>
              <w:top w:val="single" w:color="C9D3E3" w:sz="4"/>
              <w:left w:val="single" w:color="C9D3E3" w:sz="4"/>
              <w:bottom w:val="single" w:color="C9D3E3" w:sz="4"/>
              <w:right w:val="single" w:color="C9D3E3" w:sz="4"/>
            </w:tcBorders>
            <w:shd w:fill="0A2342" w:color="auto" w:val="clear"/>
            <w:tcMar>
              <w:top w:type="dxa" w:w="70"/>
              <w:left w:type="dxa" w:w="100"/>
              <w:bottom w:type="dxa" w:w="70"/>
              <w:right w:type="dxa" w:w="100"/>
            </w:tcMar>
          </w:tcPr>
          <w:p>
            <w:pPr>
              <w:spacing w:after="0"/>
            </w:pPr>
            <w:r>
              <w:rPr>
                <w:b/>
                <w:bCs/>
                <w:color w:val="FFFFFF"/>
                <w:sz w:val="19"/>
                <w:szCs w:val="19"/>
              </w:rPr>
              <w:t xml:space="preserve">Tarea</w:t>
            </w:r>
          </w:p>
        </w:tc>
        <w:tc>
          <w:tcPr>
            <w:tcW w:type="dxa" w:w="1800"/>
            <w:tcBorders>
              <w:top w:val="single" w:color="C9D3E3" w:sz="4"/>
              <w:left w:val="single" w:color="C9D3E3" w:sz="4"/>
              <w:bottom w:val="single" w:color="C9D3E3" w:sz="4"/>
              <w:right w:val="single" w:color="C9D3E3" w:sz="4"/>
            </w:tcBorders>
            <w:shd w:fill="0A2342" w:color="auto" w:val="clear"/>
            <w:tcMar>
              <w:top w:type="dxa" w:w="70"/>
              <w:left w:type="dxa" w:w="100"/>
              <w:bottom w:type="dxa" w:w="70"/>
              <w:right w:type="dxa" w:w="100"/>
            </w:tcMar>
          </w:tcPr>
          <w:p>
            <w:pPr>
              <w:spacing w:after="0"/>
            </w:pPr>
            <w:r>
              <w:rPr>
                <w:b/>
                <w:bCs/>
                <w:color w:val="FFFFFF"/>
                <w:sz w:val="19"/>
                <w:szCs w:val="19"/>
              </w:rPr>
              <w:t xml:space="preserve">Entrada</w:t>
            </w:r>
          </w:p>
        </w:tc>
        <w:tc>
          <w:tcPr>
            <w:tcW w:type="dxa" w:w="1926"/>
            <w:tcBorders>
              <w:top w:val="single" w:color="C9D3E3" w:sz="4"/>
              <w:left w:val="single" w:color="C9D3E3" w:sz="4"/>
              <w:bottom w:val="single" w:color="C9D3E3" w:sz="4"/>
              <w:right w:val="single" w:color="C9D3E3" w:sz="4"/>
            </w:tcBorders>
            <w:shd w:fill="0A2342" w:color="auto" w:val="clear"/>
            <w:tcMar>
              <w:top w:type="dxa" w:w="70"/>
              <w:left w:type="dxa" w:w="100"/>
              <w:bottom w:type="dxa" w:w="70"/>
              <w:right w:type="dxa" w:w="100"/>
            </w:tcMar>
          </w:tcPr>
          <w:p>
            <w:pPr>
              <w:spacing w:after="0"/>
            </w:pPr>
            <w:r>
              <w:rPr>
                <w:b/>
                <w:bCs/>
                <w:color w:val="FFFFFF"/>
                <w:sz w:val="19"/>
                <w:szCs w:val="19"/>
              </w:rPr>
              <w:t xml:space="preserve">Producto</w:t>
            </w:r>
          </w:p>
        </w:tc>
        <w:tc>
          <w:tcPr>
            <w:tcW w:type="dxa" w:w="1900"/>
            <w:tcBorders>
              <w:top w:val="single" w:color="C9D3E3" w:sz="4"/>
              <w:left w:val="single" w:color="C9D3E3" w:sz="4"/>
              <w:bottom w:val="single" w:color="C9D3E3" w:sz="4"/>
              <w:right w:val="single" w:color="C9D3E3" w:sz="4"/>
            </w:tcBorders>
            <w:shd w:fill="0A2342" w:color="auto" w:val="clear"/>
            <w:tcMar>
              <w:top w:type="dxa" w:w="70"/>
              <w:left w:type="dxa" w:w="100"/>
              <w:bottom w:type="dxa" w:w="70"/>
              <w:right w:type="dxa" w:w="100"/>
            </w:tcMar>
          </w:tcPr>
          <w:p>
            <w:pPr>
              <w:spacing w:after="0"/>
            </w:pPr>
            <w:r>
              <w:rPr>
                <w:b/>
                <w:bCs/>
                <w:color w:val="FFFFFF"/>
                <w:sz w:val="19"/>
                <w:szCs w:val="19"/>
              </w:rPr>
              <w:t xml:space="preserve">Quién revisó</w:t>
            </w:r>
          </w:p>
        </w:tc>
      </w:tr>
      <w:tr>
        <w:tc>
          <w:tcPr>
            <w:tcW w:type="dxa" w:w="15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Claude y ChatGPT</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Generar y corregir el código HTML, CSS y JavaScript; estructurar el contenido en la interfaz</w:t>
            </w:r>
          </w:p>
        </w:tc>
        <w:tc>
          <w:tcPr>
            <w:tcW w:type="dxa" w:w="18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Sílabo oficial e instrucciones redactadas por la docente</w:t>
            </w:r>
          </w:p>
        </w:tc>
        <w:tc>
          <w:tcPr>
            <w:tcW w:type="dxa" w:w="19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Código del sitio en cuatro versiones de idioma</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La docente: contenido contra el sílabo oficial y prueba de botones, enlaces e idiomas</w:t>
            </w:r>
          </w:p>
        </w:tc>
      </w:tr>
      <w:tr>
        <w:tc>
          <w:tcPr>
            <w:tcW w:type="dxa" w:w="15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Claude y ChatGPT</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Traducir al inglés, francés y portugués</w:t>
            </w:r>
          </w:p>
        </w:tc>
        <w:tc>
          <w:tcPr>
            <w:tcW w:type="dxa" w:w="18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Contenido del sílabo en español</w:t>
            </w:r>
          </w:p>
        </w:tc>
        <w:tc>
          <w:tcPr>
            <w:tcW w:type="dxa" w:w="19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Versiones en tres idiomas</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La docente: prueba técnica del cambio de idioma. Sin validación lingüística especializada</w:t>
            </w:r>
          </w:p>
        </w:tc>
      </w:tr>
      <w:tr>
        <w:tc>
          <w:tcPr>
            <w:tcW w:type="dxa" w:w="15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Fish Audio</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Generar la bienvenida del sitio con la voz clonada de la docente, con su autorización</w:t>
            </w:r>
          </w:p>
        </w:tc>
        <w:tc>
          <w:tcPr>
            <w:tcW w:type="dxa" w:w="18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Texto de bienvenida</w:t>
            </w:r>
          </w:p>
        </w:tc>
        <w:tc>
          <w:tcPr>
            <w:tcW w:type="dxa" w:w="19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Audios de bienvenida por idioma</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La docente: audio correcto en cada idioma</w:t>
            </w:r>
          </w:p>
        </w:tc>
      </w:tr>
      <w:tr>
        <w:tc>
          <w:tcPr>
            <w:tcW w:type="dxa" w:w="15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GitHub y GitHub Pages</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Incorporar el código y publicar el sitio</w:t>
            </w:r>
          </w:p>
        </w:tc>
        <w:tc>
          <w:tcPr>
            <w:tcW w:type="dxa" w:w="18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Archivos del sitio revisados</w:t>
            </w:r>
          </w:p>
        </w:tc>
        <w:tc>
          <w:tcPr>
            <w:tcW w:type="dxa" w:w="19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Enlace público</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La docente: ajustes y verificación de funcionamiento</w:t>
            </w:r>
          </w:p>
        </w:tc>
      </w:tr>
      <w:tr>
        <w:tc>
          <w:tcPr>
            <w:tcW w:type="dxa" w:w="15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Claude</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Guion bilingüe, presentaciones, recorte de capturas, montaje de video y borrador de esta nota</w:t>
            </w:r>
          </w:p>
        </w:tc>
        <w:tc>
          <w:tcPr>
            <w:tcW w:type="dxa" w:w="18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Información entregada por las autoras y capturas reales del sitio</w:t>
            </w:r>
          </w:p>
        </w:tc>
        <w:tc>
          <w:tcPr>
            <w:tcW w:type="dxa" w:w="19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Guiones, dos presentaciones, dos videos y esta nota</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Las dos autoras: aprobaron cada guion, presentación y video</w:t>
            </w:r>
          </w:p>
        </w:tc>
      </w:tr>
      <w:tr>
        <w:tc>
          <w:tcPr>
            <w:tcW w:type="dxa" w:w="15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ElevenLabs (voz Lizy)</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Narración de los videos</w:t>
            </w:r>
          </w:p>
        </w:tc>
        <w:tc>
          <w:tcPr>
            <w:tcW w:type="dxa" w:w="18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Guiones aprobados en español e inglés</w:t>
            </w:r>
          </w:p>
        </w:tc>
        <w:tc>
          <w:tcPr>
            <w:tcW w:type="dxa" w:w="19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Diez audios por idioma</w:t>
            </w:r>
          </w:p>
        </w:tc>
        <w:tc>
          <w:tcPr>
            <w:tcW w:type="dxa" w:w="1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Las dos autoras escucharon y revisaron</w:t>
            </w:r>
          </w:p>
        </w:tc>
      </w:tr>
    </w:tbl>
    <w:p>
      <w:pPr>
        <w:spacing w:after="120"/>
      </w:pPr>
    </w:p>
    <w:p>
      <w:pPr>
        <w:spacing w:after="120" w:line="276"/>
      </w:pPr>
      <w:r>
        <w:t xml:space="preserve">La voz de bienvenida del sitio (Fish Audio) es distinta de la voz que narra los videos del proyecto (ElevenLabs).</w:t>
      </w:r>
    </w:p>
    <w:p>
      <w:pPr>
        <w:pStyle w:val="Heading1"/>
      </w:pPr>
      <w:r>
        <w:t xml:space="preserve">4. Versiones</w:t>
      </w:r>
    </w:p>
    <w:p>
      <w:pPr>
        <w:spacing w:after="120" w:line="276"/>
      </w:pPr>
      <w:r>
        <w:t xml:space="preserve">Las versiones se identifican por fecha y por contenido, no por etiquetas como «final».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900"/>
        <w:gridCol w:w="5126"/>
      </w:tblGrid>
      <w:tr>
        <w:trPr>
          <w:tblHeader/>
        </w:trPr>
        <w:tc>
          <w:tcPr>
            <w:tcW w:type="dxa" w:w="3900"/>
            <w:tcBorders>
              <w:top w:val="single" w:color="C9D3E3" w:sz="4"/>
              <w:left w:val="single" w:color="C9D3E3" w:sz="4"/>
              <w:bottom w:val="single" w:color="C9D3E3" w:sz="4"/>
              <w:right w:val="single" w:color="C9D3E3" w:sz="4"/>
            </w:tcBorders>
            <w:shd w:fill="0A2342" w:color="auto" w:val="clear"/>
            <w:tcMar>
              <w:top w:type="dxa" w:w="70"/>
              <w:left w:type="dxa" w:w="100"/>
              <w:bottom w:type="dxa" w:w="70"/>
              <w:right w:type="dxa" w:w="100"/>
            </w:tcMar>
          </w:tcPr>
          <w:p>
            <w:pPr>
              <w:spacing w:after="0"/>
            </w:pPr>
            <w:r>
              <w:rPr>
                <w:b/>
                <w:bCs/>
                <w:color w:val="FFFFFF"/>
                <w:sz w:val="19"/>
                <w:szCs w:val="19"/>
              </w:rPr>
              <w:t xml:space="preserve">Archivo o recurso</w:t>
            </w:r>
          </w:p>
        </w:tc>
        <w:tc>
          <w:tcPr>
            <w:tcW w:type="dxa" w:w="5126"/>
            <w:tcBorders>
              <w:top w:val="single" w:color="C9D3E3" w:sz="4"/>
              <w:left w:val="single" w:color="C9D3E3" w:sz="4"/>
              <w:bottom w:val="single" w:color="C9D3E3" w:sz="4"/>
              <w:right w:val="single" w:color="C9D3E3" w:sz="4"/>
            </w:tcBorders>
            <w:shd w:fill="0A2342" w:color="auto" w:val="clear"/>
            <w:tcMar>
              <w:top w:type="dxa" w:w="70"/>
              <w:left w:type="dxa" w:w="100"/>
              <w:bottom w:type="dxa" w:w="70"/>
              <w:right w:type="dxa" w:w="100"/>
            </w:tcMar>
          </w:tcPr>
          <w:p>
            <w:pPr>
              <w:spacing w:after="0"/>
            </w:pPr>
            <w:r>
              <w:rPr>
                <w:b/>
                <w:bCs/>
                <w:color w:val="FFFFFF"/>
                <w:sz w:val="19"/>
                <w:szCs w:val="19"/>
              </w:rPr>
              <w:t xml:space="preserve">Versión que respalda la presentación</w:t>
            </w:r>
          </w:p>
        </w:tc>
      </w:tr>
      <w:tr>
        <w:tc>
          <w:tcPr>
            <w:tcW w:type="dxa" w:w="3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Sitio web fundamentos-ti-utpl</w:t>
            </w:r>
          </w:p>
        </w:tc>
        <w:tc>
          <w:tcPr>
            <w:tcW w:type="dxa" w:w="5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Estado visible el 8 de octubre de 2026, fecha de las capturas usadas en las diapositivas 7 a 9. Commit 1e23fa0 del repositorio fundamentos-ti-utpl.</w:t>
            </w:r>
          </w:p>
        </w:tc>
      </w:tr>
      <w:tr>
        <w:tc>
          <w:tcPr>
            <w:tcW w:type="dxa" w:w="3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VC-2026-017-040_ProyectoFinal_ES.pptx</w:t>
            </w:r>
          </w:p>
        </w:tc>
        <w:tc>
          <w:tcPr>
            <w:tcW w:type="dxa" w:w="5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10 diapositivas, guion en español en las notas del orador; 9 de octubre de 2026</w:t>
            </w:r>
          </w:p>
        </w:tc>
      </w:tr>
      <w:tr>
        <w:tc>
          <w:tcPr>
            <w:tcW w:type="dxa" w:w="3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VC-2026-017-040_ProyectoFinal_EN.pptx</w:t>
            </w:r>
          </w:p>
        </w:tc>
        <w:tc>
          <w:tcPr>
            <w:tcW w:type="dxa" w:w="5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10 diapositivas, guion en inglés en las notas del orador; 9 de octubre de 2026</w:t>
            </w:r>
          </w:p>
        </w:tc>
      </w:tr>
      <w:tr>
        <w:tc>
          <w:tcPr>
            <w:tcW w:type="dxa" w:w="3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VC-2026-017-040_ProyectoFinal_ES.mp4</w:t>
            </w:r>
          </w:p>
        </w:tc>
        <w:tc>
          <w:tcPr>
            <w:tcW w:type="dxa" w:w="5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4 min 53 s, 1920 × 1080, narración ElevenLabs voz Lizy; 9 de octubre de 2026</w:t>
            </w:r>
          </w:p>
        </w:tc>
      </w:tr>
      <w:tr>
        <w:tc>
          <w:tcPr>
            <w:tcW w:type="dxa" w:w="3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VC-2026-017-040_ProyectoFinal_EN.mp4</w:t>
            </w:r>
          </w:p>
        </w:tc>
        <w:tc>
          <w:tcPr>
            <w:tcW w:type="dxa" w:w="5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4 min 36 s, 1920 × 1080, narración ElevenLabs voz Lizy; 9 de octubre de 2026</w:t>
            </w:r>
          </w:p>
        </w:tc>
      </w:tr>
      <w:tr>
        <w:tc>
          <w:tcPr>
            <w:tcW w:type="dxa" w:w="3900"/>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Registros de asistencia</w:t>
            </w:r>
          </w:p>
        </w:tc>
        <w:tc>
          <w:tcPr>
            <w:tcW w:type="dxa" w:w="5126"/>
            <w:tcBorders>
              <w:top w:val="single" w:color="C9D3E3" w:sz="4"/>
              <w:left w:val="single" w:color="C9D3E3" w:sz="4"/>
              <w:bottom w:val="single" w:color="C9D3E3" w:sz="4"/>
              <w:right w:val="single" w:color="C9D3E3" w:sz="4"/>
            </w:tcBorders>
            <w:tcMar>
              <w:top w:type="dxa" w:w="70"/>
              <w:left w:type="dxa" w:w="100"/>
              <w:bottom w:type="dxa" w:w="70"/>
              <w:right w:type="dxa" w:w="100"/>
            </w:tcMar>
          </w:tcPr>
          <w:p>
            <w:pPr>
              <w:spacing w:after="0"/>
            </w:pPr>
            <w:r>
              <w:t xml:space="preserve">Sesiones de clase del 5 al 8 de octubre de 2026, en las que se realizó la prueba de uso. Los registros se conservan en el aula virtual de cada docente: en el sistema académico de la UTE para Planificación y Organización de Eventos Gastronómicos, Técnicas de Servicio y Sumillería, y en el de la UTPL para Fundamentos de Tecnologías de la Información.</w:t>
            </w:r>
          </w:p>
        </w:tc>
      </w:tr>
    </w:tbl>
    <w:p>
      <w:pPr>
        <w:spacing w:after="120"/>
      </w:pPr>
    </w:p>
    <w:p>
      <w:pPr>
        <w:spacing w:after="120" w:line="276"/>
      </w:pPr>
      <w:r>
        <w:t xml:space="preserve">Las autoras confirmaron las duraciones de los videos de entrega: 4 min 53 s en español y 4 min 36 s en inglés, dentro del rango de 4:30 a 5:00 que exige el curso.</w:t>
      </w:r>
    </w:p>
    <w:p>
      <w:pPr>
        <w:pStyle w:val="Heading1"/>
      </w:pPr>
      <w:r>
        <w:t xml:space="preserve">5. Alcance y declaración de uso de IA</w:t>
      </w:r>
    </w:p>
    <w:p>
      <w:pPr>
        <w:pStyle w:val="Heading2"/>
      </w:pPr>
      <w:r>
        <w:t xml:space="preserve">Qué se puede concluir</w:t>
      </w:r>
    </w:p>
    <w:p>
      <w:pPr>
        <w:pStyle w:val="ListParagraph"/>
        <w:numPr>
          <w:ilvl w:val="0"/>
          <w:numId w:val="2"/>
        </w:numPr>
        <w:spacing w:after="80" w:line="276"/>
      </w:pPr>
      <w:r>
        <w:t xml:space="preserve">El sitio está publicado y funciona en cuatro asignaturas, con cuatro idiomas, bienvenida en audio, «Leer en voz alta» y «Mi lista».</w:t>
      </w:r>
    </w:p>
    <w:p>
      <w:pPr>
        <w:pStyle w:val="ListParagraph"/>
        <w:numPr>
          <w:ilvl w:val="0"/>
          <w:numId w:val="2"/>
        </w:numPr>
        <w:spacing w:after="80" w:line="276"/>
      </w:pPr>
      <w:r>
        <w:t xml:space="preserve">88 estudiantes participaron en una prueba de uso en clase, respaldada por registros de asistencia.</w:t>
      </w:r>
    </w:p>
    <w:p>
      <w:pPr>
        <w:pStyle w:val="ListParagraph"/>
        <w:numPr>
          <w:ilvl w:val="0"/>
          <w:numId w:val="2"/>
        </w:numPr>
        <w:spacing w:after="80" w:line="276"/>
      </w:pPr>
      <w:r>
        <w:t xml:space="preserve">La prueba permitió detectar y corregir errores de funcionamiento, entre ellos uno del audio de bienvenida.</w:t>
      </w:r>
    </w:p>
    <w:p>
      <w:pPr>
        <w:pStyle w:val="Heading2"/>
      </w:pPr>
      <w:r>
        <w:t xml:space="preserve">Qué no se puede concluir</w:t>
      </w:r>
    </w:p>
    <w:p>
      <w:pPr>
        <w:pStyle w:val="ListParagraph"/>
        <w:numPr>
          <w:ilvl w:val="0"/>
          <w:numId w:val="2"/>
        </w:numPr>
        <w:spacing w:after="80" w:line="276"/>
      </w:pPr>
      <w:r>
        <w:t xml:space="preserve">Que los estudiantes prefieran el sitio al PDF, ni ningún porcentaje de satisfacción: no se midió.</w:t>
      </w:r>
    </w:p>
    <w:p>
      <w:pPr>
        <w:pStyle w:val="ListParagraph"/>
        <w:numPr>
          <w:ilvl w:val="0"/>
          <w:numId w:val="2"/>
        </w:numPr>
        <w:spacing w:after="80" w:line="276"/>
      </w:pPr>
      <w:r>
        <w:t xml:space="preserve">Que la herramienta mejore el aprendizaje o el rendimiento académico: no se evaluó.</w:t>
      </w:r>
    </w:p>
    <w:p>
      <w:pPr>
        <w:pStyle w:val="ListParagraph"/>
        <w:numPr>
          <w:ilvl w:val="0"/>
          <w:numId w:val="2"/>
        </w:numPr>
        <w:spacing w:after="80" w:line="276"/>
      </w:pPr>
      <w:r>
        <w:t xml:space="preserve">Que las traducciones sean correctas en todos sus términos: solo se probaron técnicamente.</w:t>
      </w:r>
    </w:p>
    <w:p>
      <w:pPr>
        <w:pStyle w:val="ListParagraph"/>
        <w:numPr>
          <w:ilvl w:val="0"/>
          <w:numId w:val="2"/>
        </w:numPr>
        <w:spacing w:after="80" w:line="276"/>
      </w:pPr>
      <w:r>
        <w:t xml:space="preserve">Que el resultado se reproduzca igual en otras asignaturas o instituciones sin una nueva revisión.</w:t>
      </w:r>
    </w:p>
    <w:p>
      <w:pPr>
        <w:pStyle w:val="Heading2"/>
      </w:pPr>
      <w:r>
        <w:t xml:space="preserve">Declaración de uso de IA</w:t>
      </w:r>
    </w:p>
    <w:p>
      <w:pPr>
        <w:spacing w:after="120" w:line="276"/>
      </w:pPr>
      <w:r>
        <w:t xml:space="preserve">En este proyecto se utilizaron herramientas de inteligencia artificial para programar el sitio, traducir sus contenidos, generar la voz de bienvenida, redactar los guiones, diseñar las presentaciones, narrar y montar los videos, y preparar el borrador de esta nota. Todo el contenido académico proviene del sílabo oficial. Las autoras revisaron, corrigieron y aprobaron cada producto antes de publicarlo. La narración de los videos fue generada con voz de IA (ElevenLabs) y revisada por las autoras.</w:t>
      </w:r>
    </w:p>
    <w:p>
      <w:pPr>
        <w:pStyle w:val="Heading1"/>
      </w:pPr>
      <w:r>
        <w:t xml:space="preserve">6. Plan de mantenimiento</w:t>
      </w:r>
    </w:p>
    <w:p>
      <w:pPr>
        <w:spacing w:after="120" w:line="276"/>
      </w:pPr>
      <w:r>
        <w:rPr>
          <w:b/>
          <w:bCs/>
        </w:rPr>
        <w:t xml:space="preserve">Rol responsable:</w:t>
      </w:r>
      <w:r>
        <w:t xml:space="preserve"> la docente titular de cada asignatura mantiene su sílabo interactivo.</w:t>
      </w:r>
    </w:p>
    <w:p>
      <w:pPr>
        <w:pStyle w:val="ListParagraph"/>
        <w:numPr>
          <w:ilvl w:val="0"/>
          <w:numId w:val="2"/>
        </w:numPr>
        <w:spacing w:after="80" w:line="276"/>
      </w:pPr>
      <w:r>
        <w:rPr>
          <w:b/>
          <w:bCs/>
        </w:rPr>
        <w:t xml:space="preserve">María de Lourdes Larrea (Universidad UTE):</w:t>
      </w:r>
      <w:r>
        <w:t xml:space="preserve"> Planificación y Organización de Eventos Gastronómicos, Técnicas de Servicio y Sumillería.</w:t>
      </w:r>
    </w:p>
    <w:p>
      <w:pPr>
        <w:pStyle w:val="ListParagraph"/>
        <w:numPr>
          <w:ilvl w:val="0"/>
          <w:numId w:val="2"/>
        </w:numPr>
        <w:spacing w:after="80" w:line="276"/>
      </w:pPr>
      <w:r>
        <w:rPr>
          <w:b/>
          <w:bCs/>
        </w:rPr>
        <w:t xml:space="preserve">Germania del Rocío Rodríguez (UTPL):</w:t>
      </w:r>
      <w:r>
        <w:t xml:space="preserve"> Fundamentos de Tecnologías de la Información.</w:t>
      </w:r>
    </w:p>
    <w:p>
      <w:pPr>
        <w:spacing w:after="120" w:line="276"/>
      </w:pPr>
      <w:r>
        <w:rPr>
          <w:b/>
          <w:bCs/>
        </w:rPr>
        <w:t xml:space="preserve">Cambios que activan una revisión:</w:t>
      </w:r>
    </w:p>
    <w:p>
      <w:pPr>
        <w:pStyle w:val="ListParagraph"/>
        <w:numPr>
          <w:ilvl w:val="0"/>
          <w:numId w:val="2"/>
        </w:numPr>
        <w:spacing w:after="80" w:line="276"/>
      </w:pPr>
      <w:r>
        <w:t xml:space="preserve">Un cambio en el sílabo oficial o en el plan docente aprobado, o el inicio de un nuevo período académico.</w:t>
      </w:r>
    </w:p>
    <w:p>
      <w:pPr>
        <w:pStyle w:val="ListParagraph"/>
        <w:numPr>
          <w:ilvl w:val="0"/>
          <w:numId w:val="2"/>
        </w:numPr>
        <w:spacing w:after="80" w:line="276"/>
      </w:pPr>
      <w:r>
        <w:t xml:space="preserve">Una modificación en las traducciones, en los audios o en el código del sitio.</w:t>
      </w:r>
    </w:p>
    <w:p>
      <w:pPr>
        <w:pStyle w:val="ListParagraph"/>
        <w:numPr>
          <w:ilvl w:val="0"/>
          <w:numId w:val="2"/>
        </w:numPr>
        <w:spacing w:after="80" w:line="276"/>
      </w:pPr>
      <w:r>
        <w:t xml:space="preserve">Un reporte de estudiantes sobre información incorrecta, enlaces rotos o audios que no corresponden.</w:t>
      </w:r>
    </w:p>
    <w:p>
      <w:pPr>
        <w:pStyle w:val="ListParagraph"/>
        <w:numPr>
          <w:ilvl w:val="0"/>
          <w:numId w:val="2"/>
        </w:numPr>
        <w:spacing w:after="80" w:line="276"/>
      </w:pPr>
      <w:r>
        <w:t xml:space="preserve">Un cambio en GitHub Pages, en Fish Audio o en el EVA que afecte el acceso al sitio.</w:t>
      </w:r>
    </w:p>
    <w:p>
      <w:pPr>
        <w:spacing w:after="120" w:line="276"/>
      </w:pPr>
      <w:r>
        <w:rPr>
          <w:b/>
          <w:bCs/>
        </w:rPr>
        <w:t xml:space="preserve">Qué hacer si falla:</w:t>
      </w:r>
    </w:p>
    <w:p>
      <w:pPr>
        <w:pStyle w:val="ListParagraph"/>
        <w:numPr>
          <w:ilvl w:val="0"/>
          <w:numId w:val="2"/>
        </w:numPr>
        <w:spacing w:after="80" w:line="276"/>
      </w:pPr>
      <w:r>
        <w:rPr>
          <w:b/>
          <w:bCs/>
        </w:rPr>
        <w:t xml:space="preserve">Detener el uso del resultado afectado:</w:t>
      </w:r>
      <w:r>
        <w:t xml:space="preserve"> retirar o marcar la sección con error y recordar a los estudiantes que prevalece el plan docente aprobado en el EVA.</w:t>
      </w:r>
    </w:p>
    <w:p>
      <w:pPr>
        <w:pStyle w:val="ListParagraph"/>
        <w:numPr>
          <w:ilvl w:val="0"/>
          <w:numId w:val="2"/>
        </w:numPr>
        <w:spacing w:after="80" w:line="276"/>
      </w:pPr>
      <w:r>
        <w:rPr>
          <w:b/>
          <w:bCs/>
        </w:rPr>
        <w:t xml:space="preserve">Conservar la evidencia:</w:t>
      </w:r>
      <w:r>
        <w:t xml:space="preserve"> capturas del error, fecha, idioma y navegador, y la versión del sitio en que ocurrió.</w:t>
      </w:r>
    </w:p>
    <w:p>
      <w:pPr>
        <w:pStyle w:val="ListParagraph"/>
        <w:numPr>
          <w:ilvl w:val="0"/>
          <w:numId w:val="2"/>
        </w:numPr>
        <w:spacing w:after="80" w:line="276"/>
      </w:pPr>
      <w:r>
        <w:rPr>
          <w:b/>
          <w:bCs/>
        </w:rPr>
        <w:t xml:space="preserve">Revisar:</w:t>
      </w:r>
      <w:r>
        <w:t xml:space="preserve"> comparar el contenido con el sílabo oficial, corregir y volver a probar botones, enlaces, idiomas y audios.</w:t>
      </w:r>
    </w:p>
    <w:p>
      <w:pPr>
        <w:pStyle w:val="ListParagraph"/>
        <w:numPr>
          <w:ilvl w:val="0"/>
          <w:numId w:val="2"/>
        </w:numPr>
        <w:spacing w:after="80" w:line="276"/>
      </w:pPr>
      <w:r>
        <w:rPr>
          <w:b/>
          <w:bCs/>
        </w:rPr>
        <w:t xml:space="preserve">Decidir:</w:t>
      </w:r>
      <w:r>
        <w:t xml:space="preserve"> la docente responsable decide si se vuelve a publicar y deja constancia del cambio y de la fecha.</w:t>
      </w:r>
    </w:p>
    <w:p>
      <w:pPr>
        <w:spacing w:after="120" w:line="276"/>
      </w:pPr>
      <w:r>
        <w:rPr>
          <w:b/>
          <w:bCs/>
        </w:rPr>
        <w:t xml:space="preserve">Siguiente paso previsto:</w:t>
      </w:r>
      <w:r>
        <w:t xml:space="preserve"> integrar el enlace en el LMS institucional, aplicar una encuesta breve de usabilidad y validar las traducciones con personas especialistas.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577"/>
        <w:sz w:val="18"/>
        <w:szCs w:val="18"/>
      </w:rPr>
      <w:t xml:space="preserve">Nota metodológica · Sílabo Interactivo Multilingüe · Página </w:t>
    </w:r>
    <w:r>
      <w:rPr>
        <w:color w:val="5B65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00"/>
    </w:pPr>
    <w:rPr>
      <w:rFonts w:ascii="Calibri" w:cs="Calibri" w:eastAsia="Calibri" w:hAnsi="Calibri"/>
      <w:b/>
      <w:bCs/>
      <w:color w:val="0A2342"/>
      <w:sz w:val="40"/>
      <w:szCs w:val="40"/>
    </w:rPr>
  </w:style>
  <w:style w:type="paragraph" w:styleId="Heading1">
    <w:name w:val="Heading 1"/>
    <w:basedOn w:val="Normal"/>
    <w:next w:val="Normal"/>
    <w:qFormat/>
    <w:pPr>
      <w:spacing w:after="120" w:before="300"/>
      <w:outlineLvl w:val="0"/>
    </w:pPr>
    <w:rPr>
      <w:rFonts w:ascii="Calibri" w:cs="Calibri" w:eastAsia="Calibri" w:hAnsi="Calibri"/>
      <w:b/>
      <w:bCs/>
      <w:color w:val="0A2342"/>
      <w:sz w:val="28"/>
      <w:szCs w:val="28"/>
    </w:rPr>
  </w:style>
  <w:style w:type="paragraph" w:styleId="Heading2">
    <w:name w:val="Heading 2"/>
    <w:basedOn w:val="Normal"/>
    <w:next w:val="Normal"/>
    <w:qFormat/>
    <w:pPr>
      <w:spacing w:after="80" w:before="160"/>
      <w:outlineLvl w:val="1"/>
    </w:pPr>
    <w:rPr>
      <w:rFonts w:ascii="Calibri" w:cs="Calibri" w:eastAsia="Calibri" w:hAnsi="Calibri"/>
      <w:b/>
      <w:bCs/>
      <w:color w:val="0B8A85"/>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2026-10-09T18:03:50.999Z</dcterms:created>
  <dcterms:modified xsi:type="dcterms:W3CDTF">2026-10-09T18:03:51.012Z</dcterms:modified>
</cp:coreProperties>
</file>

<file path=docProps/custom.xml><?xml version="1.0" encoding="utf-8"?>
<Properties xmlns="http://schemas.openxmlformats.org/officeDocument/2006/custom-properties" xmlns:vt="http://schemas.openxmlformats.org/officeDocument/2006/docPropsVTypes"/>
</file>